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C" w:rsidRPr="0071136C" w:rsidRDefault="0071136C" w:rsidP="0071136C">
      <w:pPr>
        <w:jc w:val="center"/>
        <w:rPr>
          <w:rFonts w:ascii="Helvetica" w:hAnsi="Helvetica" w:cs="Helvetica"/>
          <w:b/>
          <w:sz w:val="28"/>
          <w:szCs w:val="28"/>
          <w:lang w:eastAsia="en-US"/>
        </w:rPr>
      </w:pPr>
      <w:bookmarkStart w:id="0" w:name="_GoBack"/>
      <w:bookmarkEnd w:id="0"/>
      <w:r w:rsidRPr="0071136C">
        <w:rPr>
          <w:rFonts w:ascii="Helvetica" w:hAnsi="Helvetica" w:cs="Helvetica"/>
          <w:b/>
          <w:sz w:val="28"/>
          <w:szCs w:val="28"/>
          <w:lang w:eastAsia="en-US"/>
        </w:rPr>
        <w:t>Charte de mise en service dynamique</w:t>
      </w:r>
      <w:r w:rsidR="007126A0">
        <w:rPr>
          <w:rFonts w:ascii="Helvetica" w:hAnsi="Helvetica" w:cs="Helvetica"/>
          <w:b/>
          <w:sz w:val="28"/>
          <w:szCs w:val="28"/>
          <w:lang w:eastAsia="en-US"/>
        </w:rPr>
        <w:t xml:space="preserve"> suivie d’une GRS</w:t>
      </w: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rsidR="0071136C" w:rsidRDefault="0071136C" w:rsidP="0071136C">
      <w:pPr>
        <w:jc w:val="both"/>
        <w:rPr>
          <w:rFonts w:ascii="Helvetica" w:hAnsi="Helvetica" w:cs="Helvetica"/>
          <w:sz w:val="24"/>
          <w:szCs w:val="24"/>
          <w:lang w:eastAsia="en-US"/>
        </w:rPr>
      </w:pPr>
    </w:p>
    <w:p w:rsidR="0071136C" w:rsidRPr="0071136C" w:rsidRDefault="0071136C"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w:t>
      </w:r>
      <w:proofErr w:type="gramStart"/>
      <w:r w:rsidRPr="007126A0">
        <w:rPr>
          <w:rFonts w:ascii="Helvetica" w:hAnsi="Helvetica" w:cs="Helvetica"/>
          <w:sz w:val="24"/>
          <w:szCs w:val="24"/>
          <w:lang w:eastAsia="en-US"/>
        </w:rPr>
        <w:t>article</w:t>
      </w:r>
      <w:proofErr w:type="gramEnd"/>
      <w:r w:rsidRPr="007126A0">
        <w:rPr>
          <w:rFonts w:ascii="Helvetica" w:hAnsi="Helvetica" w:cs="Helvetica"/>
          <w:sz w:val="24"/>
          <w:szCs w:val="24"/>
          <w:lang w:eastAsia="en-US"/>
        </w:rPr>
        <w:t xml:space="preserve"> … - conditions suspensives</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La prise d’effet du présent contrat est conditionné par la ratification par le prestataire/locateurs d’ouvrage à la charte d’engagement de mise en service dynamique ci annexée  et de de garantie de résultat solaire (annexe n°…) laquelle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 et à fournir au maître d’ouvrage une garantie de garantie de résultat solaire.</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Cette dernière a d’ores et déjà été transmise au prestataire/locateur d’ouvrage qui le reconnait.</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En l’absence de ratification de cette dernière, le présent contrat sera déclaré nul et de nul effet.</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b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p w:rsidR="0071136C" w:rsidRPr="0071136C" w:rsidRDefault="0071136C" w:rsidP="007126A0">
      <w:pPr>
        <w:jc w:val="both"/>
        <w:rPr>
          <w:rFonts w:ascii="Helvetica" w:hAnsi="Helvetica" w:cs="Helvetica"/>
          <w:sz w:val="24"/>
          <w:szCs w:val="24"/>
          <w:lang w:eastAsia="en-US"/>
        </w:rPr>
      </w:pPr>
    </w:p>
    <w:sectPr w:rsidR="0071136C" w:rsidRPr="0071136C">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E7" w:rsidRDefault="008C4EE7" w:rsidP="0071136C">
      <w:r>
        <w:separator/>
      </w:r>
    </w:p>
  </w:endnote>
  <w:endnote w:type="continuationSeparator" w:id="0">
    <w:p w:rsidR="008C4EE7" w:rsidRDefault="008C4EE7"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6C" w:rsidRDefault="0071136C">
    <w:pPr>
      <w:pStyle w:val="Pieddepage"/>
    </w:pPr>
    <w:r>
      <w:t>SOCOL – mars 2018 – Clause type concernant la charte de mise en service dynamique</w:t>
    </w:r>
    <w:r w:rsidR="007126A0">
      <w:t xml:space="preserve"> suivie d’une GRS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E7" w:rsidRDefault="008C4EE7" w:rsidP="0071136C">
      <w:r>
        <w:separator/>
      </w:r>
    </w:p>
  </w:footnote>
  <w:footnote w:type="continuationSeparator" w:id="0">
    <w:p w:rsidR="008C4EE7" w:rsidRDefault="008C4EE7" w:rsidP="0071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6C"/>
    <w:rsid w:val="003B1480"/>
    <w:rsid w:val="003F271F"/>
    <w:rsid w:val="00595550"/>
    <w:rsid w:val="0071136C"/>
    <w:rsid w:val="007126A0"/>
    <w:rsid w:val="008C4EE7"/>
    <w:rsid w:val="008D448F"/>
    <w:rsid w:val="00920FD6"/>
    <w:rsid w:val="00B649C2"/>
    <w:rsid w:val="00CE050A"/>
    <w:rsid w:val="00EC3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 w:id="14244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2018-04-16T13:51:00Z</dcterms:created>
  <dcterms:modified xsi:type="dcterms:W3CDTF">2018-04-16T13:51:00Z</dcterms:modified>
</cp:coreProperties>
</file>